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567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(слайд №1) </w:t>
      </w:r>
    </w:p>
    <w:p w14:paraId="03000000">
      <w:pPr>
        <w:ind w:firstLine="567" w:left="0"/>
        <w:jc w:val="center"/>
        <w:rPr>
          <w:rFonts w:ascii="Times New Roman" w:hAnsi="Times New Roman"/>
          <w:b w:val="1"/>
          <w:sz w:val="28"/>
        </w:rPr>
      </w:pPr>
    </w:p>
    <w:p w14:paraId="04000000">
      <w:pPr>
        <w:ind w:firstLine="567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Отчет </w:t>
      </w:r>
    </w:p>
    <w:p w14:paraId="05000000">
      <w:pPr>
        <w:spacing w:after="0" w:line="240" w:lineRule="auto"/>
        <w:ind w:firstLine="567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деятельности Контрольно-счетной комиссии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6000000">
      <w:pPr>
        <w:spacing w:after="0" w:line="240" w:lineRule="auto"/>
        <w:ind w:firstLine="567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Шарангского муниципального округа Нижегородской области</w:t>
      </w:r>
    </w:p>
    <w:p w14:paraId="07000000">
      <w:pPr>
        <w:spacing w:after="0" w:line="240" w:lineRule="auto"/>
        <w:ind w:firstLine="567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за 2025</w:t>
      </w:r>
      <w:r>
        <w:rPr>
          <w:rFonts w:ascii="Times New Roman" w:hAnsi="Times New Roman"/>
          <w:b w:val="1"/>
          <w:sz w:val="28"/>
        </w:rPr>
        <w:t xml:space="preserve"> год</w:t>
      </w:r>
    </w:p>
    <w:p w14:paraId="08000000">
      <w:pPr>
        <w:spacing w:after="0" w:line="240" w:lineRule="auto"/>
        <w:ind w:firstLine="567" w:left="0"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0A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Контрольно-счетная комиссия образована Советом депутатов Шарангского муни</w:t>
      </w:r>
      <w:r>
        <w:rPr>
          <w:rFonts w:ascii="Times New Roman" w:hAnsi="Times New Roman"/>
          <w:sz w:val="28"/>
        </w:rPr>
        <w:t xml:space="preserve">ципального округа Нижегородской области и является постоянно действующим органом внешнего муниципального финансового контроля, </w:t>
      </w:r>
      <w:r>
        <w:rPr>
          <w:rFonts w:ascii="Times New Roman" w:hAnsi="Times New Roman"/>
          <w:color w:val="000000"/>
          <w:sz w:val="28"/>
        </w:rPr>
        <w:t>полномочия которой распространяются на вопросы соблюдения бюджетного законодательства, организацию и осуществление контроля за эффективностью использования средств бюджета Шарангского муниципального округа</w:t>
      </w:r>
      <w:r>
        <w:rPr>
          <w:rFonts w:ascii="Times New Roman" w:hAnsi="Times New Roman"/>
          <w:color w:val="000000"/>
          <w:sz w:val="28"/>
        </w:rPr>
        <w:t>.</w:t>
      </w:r>
    </w:p>
    <w:p w14:paraId="0B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отчетном периоде деятельность контрольно-счетной комиссии осуществлялась в соответствии с полномочиями, установленными решением </w:t>
      </w:r>
      <w:r>
        <w:rPr>
          <w:rFonts w:ascii="Times New Roman" w:hAnsi="Times New Roman"/>
          <w:b w:val="0"/>
          <w:sz w:val="28"/>
        </w:rPr>
        <w:t>Со</w:t>
      </w:r>
      <w:r>
        <w:rPr>
          <w:rFonts w:ascii="Times New Roman" w:hAnsi="Times New Roman"/>
          <w:b w:val="0"/>
          <w:sz w:val="28"/>
        </w:rPr>
        <w:t>вета депутатов Шарангского муниципального округа Нижегородской области от 26 декабря 2023 года №86 «О создании Контрольно-счетной комиссии Шарангского муниципального округа Нижегородской области»</w:t>
      </w:r>
      <w:r>
        <w:rPr>
          <w:rFonts w:ascii="Times New Roman" w:hAnsi="Times New Roman"/>
          <w:sz w:val="28"/>
        </w:rPr>
        <w:t>, а также на основании плана работы на 2025 год, утвержденного распоряжением контрольно-счетной комиссии.</w:t>
      </w:r>
    </w:p>
    <w:p w14:paraId="0C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Фактическая численность сотрудников комиссии в 2025 году – 1 единица (председатель контрольно-счетной комиссии) при штатной численности – 2 единицы.</w:t>
      </w:r>
    </w:p>
    <w:p w14:paraId="0D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0E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(</w:t>
      </w:r>
      <w:r>
        <w:rPr>
          <w:rFonts w:ascii="Times New Roman" w:hAnsi="Times New Roman"/>
          <w:b w:val="1"/>
          <w:sz w:val="28"/>
        </w:rPr>
        <w:t>сла</w:t>
      </w:r>
      <w:r>
        <w:rPr>
          <w:rFonts w:ascii="Times New Roman" w:hAnsi="Times New Roman"/>
          <w:b w:val="1"/>
          <w:sz w:val="28"/>
        </w:rPr>
        <w:t>йд №2)</w:t>
      </w:r>
    </w:p>
    <w:p w14:paraId="0F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Деятельность комиссии основывалась на принципах законности, объективности, эффективности, независимости, открытости и гласности.</w:t>
      </w:r>
    </w:p>
    <w:p w14:paraId="11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Основными направлениями деятельности контрольно-счетной комиссии в 2025 году являлись:</w:t>
      </w:r>
    </w:p>
    <w:p w14:paraId="12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контрольная деятельность;</w:t>
      </w:r>
    </w:p>
    <w:p w14:paraId="13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экспертно - аналитическая деятельность;</w:t>
      </w:r>
    </w:p>
    <w:p w14:paraId="14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информационная и организационная деятельность.</w:t>
      </w:r>
    </w:p>
    <w:p w14:paraId="15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Всего в 2025 году комиссией было проведено </w:t>
      </w:r>
      <w:r>
        <w:rPr>
          <w:rFonts w:ascii="Times New Roman" w:hAnsi="Times New Roman"/>
          <w:b w:val="0"/>
          <w:sz w:val="28"/>
        </w:rPr>
        <w:t>5 контрольных мероприятий</w:t>
      </w:r>
      <w:r>
        <w:rPr>
          <w:rFonts w:ascii="Times New Roman" w:hAnsi="Times New Roman"/>
          <w:b w:val="0"/>
          <w:i w:val="1"/>
          <w:sz w:val="28"/>
        </w:rPr>
        <w:t xml:space="preserve"> </w:t>
      </w:r>
      <w:r>
        <w:rPr>
          <w:rFonts w:ascii="Times New Roman" w:hAnsi="Times New Roman"/>
          <w:b w:val="0"/>
          <w:i w:val="1"/>
          <w:sz w:val="28"/>
        </w:rPr>
        <w:t>(из них 1 параллельная проверка с контрольно-сч</w:t>
      </w:r>
      <w:r>
        <w:rPr>
          <w:rFonts w:ascii="Times New Roman" w:hAnsi="Times New Roman"/>
          <w:i w:val="1"/>
          <w:sz w:val="28"/>
        </w:rPr>
        <w:t>етной палатой Нижегородской области, 1 внеплановая совместная проверка с Шарангской межрайонной прокуратурой, 3 по поручению Главы местного самоуправления)</w:t>
      </w:r>
      <w:r>
        <w:rPr>
          <w:rFonts w:ascii="Times New Roman" w:hAnsi="Times New Roman"/>
          <w:sz w:val="28"/>
        </w:rPr>
        <w:t xml:space="preserve"> и 37 экспертно-аналитических мероприятий </w:t>
      </w:r>
      <w:r>
        <w:rPr>
          <w:rFonts w:ascii="Times New Roman" w:hAnsi="Times New Roman"/>
          <w:i w:val="1"/>
          <w:sz w:val="28"/>
        </w:rPr>
        <w:t>(из них 32– экспертизы проектов решений и иных нормативных правовых актов, 4 – по контролю исполнения бюджета муниципального округа, 1– тематическое экспертно-аналитическое мероприятие).</w:t>
      </w:r>
    </w:p>
    <w:p w14:paraId="16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 w14:paraId="17000000">
      <w:pPr>
        <w:numPr>
          <w:numId w:val="1"/>
        </w:num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Основные показатели деятельности</w:t>
      </w:r>
    </w:p>
    <w:p w14:paraId="18000000">
      <w:pPr>
        <w:spacing w:after="0" w:line="240" w:lineRule="auto"/>
        <w:ind w:firstLine="567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(слайд №3)</w:t>
      </w:r>
    </w:p>
    <w:p w14:paraId="19000000">
      <w:pPr>
        <w:spacing w:after="0" w:line="240" w:lineRule="auto"/>
        <w:ind w:firstLine="567" w:left="0"/>
        <w:jc w:val="left"/>
        <w:rPr>
          <w:rFonts w:ascii="Times New Roman" w:hAnsi="Times New Roman"/>
          <w:sz w:val="28"/>
        </w:rPr>
      </w:pPr>
    </w:p>
    <w:p w14:paraId="1A000000">
      <w:pPr>
        <w:spacing w:after="0" w:line="240" w:lineRule="auto"/>
        <w:ind w:firstLine="567" w:left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>Всего в отчетном периоде проведено 42 мероприятия (в 2024 году - 52).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Снижение количества проведенных ЭАМ связано с уменьшением количества направленных на экспертизу нормативных-правовых актов в отчетном периоде.</w:t>
      </w:r>
    </w:p>
    <w:p w14:paraId="1B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Объем проверенных средств при контрольных мероприятиях составил 18 195,6 тыс. рублей (в 2024 году – 19 148,8 тыс. руб.).</w:t>
      </w:r>
    </w:p>
    <w:p w14:paraId="1C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контрольных мероприятий направлено 4 представления, 1 информационное письмо.</w:t>
      </w:r>
    </w:p>
    <w:p w14:paraId="1D000000">
      <w:pPr>
        <w:spacing w:after="0" w:line="240" w:lineRule="auto"/>
        <w:ind w:firstLine="567" w:left="0"/>
        <w:jc w:val="left"/>
        <w:rPr>
          <w:rFonts w:ascii="Times New Roman" w:hAnsi="Times New Roman"/>
          <w:b w:val="0"/>
          <w:sz w:val="28"/>
        </w:rPr>
      </w:pPr>
    </w:p>
    <w:p w14:paraId="1E000000">
      <w:pPr>
        <w:spacing w:after="0" w:line="240" w:lineRule="auto"/>
        <w:ind w:firstLine="567" w:left="0"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Основные показатели деятельности комиссии в 2024-2025 годах приведены в таблице:</w:t>
      </w:r>
    </w:p>
    <w:tbl>
      <w:tblPr>
        <w:tblLayout w:type="fixed"/>
      </w:tblPr>
      <w:tblGrid>
        <w:gridCol w:w="6926"/>
        <w:gridCol w:w="1582"/>
        <w:gridCol w:w="1582"/>
      </w:tblGrid>
      <w:tr>
        <w:trPr>
          <w:trHeight w:hRule="atLeast" w:val="300"/>
        </w:trPr>
        <w:tc>
          <w:tcPr>
            <w:tcW w:type="dxa" w:w="6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type="dxa" w:w="1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 год</w:t>
            </w:r>
          </w:p>
        </w:tc>
        <w:tc>
          <w:tcPr>
            <w:tcW w:type="dxa" w:w="1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</w:tr>
      <w:tr>
        <w:trPr>
          <w:trHeight w:hRule="atLeast" w:val="300"/>
        </w:trPr>
        <w:tc>
          <w:tcPr>
            <w:tcW w:type="dxa" w:w="6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00000">
            <w:pPr>
              <w:ind/>
              <w:jc w:val="left"/>
              <w:rPr>
                <w:rFonts w:ascii="Times New Roman" w:hAnsi="Times New Roman"/>
                <w:b w:val="0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Проведено контрольных и экспертно-аналитических мероприятий (ед.), </w:t>
            </w:r>
            <w:r>
              <w:rPr>
                <w:rFonts w:ascii="Times New Roman" w:hAnsi="Times New Roman"/>
                <w:b w:val="0"/>
                <w:i w:val="1"/>
                <w:sz w:val="24"/>
              </w:rPr>
              <w:t>из них:</w:t>
            </w:r>
          </w:p>
        </w:tc>
        <w:tc>
          <w:tcPr>
            <w:tcW w:type="dxa" w:w="1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3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52</w:t>
            </w:r>
          </w:p>
        </w:tc>
        <w:tc>
          <w:tcPr>
            <w:tcW w:type="dxa" w:w="1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4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42</w:t>
            </w:r>
          </w:p>
        </w:tc>
      </w:tr>
      <w:tr>
        <w:trPr>
          <w:trHeight w:hRule="atLeast" w:val="300"/>
        </w:trPr>
        <w:tc>
          <w:tcPr>
            <w:tcW w:type="dxa" w:w="6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-контрольных мероприятий (КМ)</w:t>
            </w:r>
          </w:p>
        </w:tc>
        <w:tc>
          <w:tcPr>
            <w:tcW w:type="dxa" w:w="1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rPr>
          <w:trHeight w:hRule="atLeast" w:val="300"/>
        </w:trPr>
        <w:tc>
          <w:tcPr>
            <w:tcW w:type="dxa" w:w="6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-экспертно-аналитических мероприятий (ЭАМ)</w:t>
            </w:r>
          </w:p>
        </w:tc>
        <w:tc>
          <w:tcPr>
            <w:tcW w:type="dxa" w:w="1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type="dxa" w:w="1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</w:tr>
      <w:tr>
        <w:trPr>
          <w:trHeight w:hRule="atLeast" w:val="300"/>
        </w:trPr>
        <w:tc>
          <w:tcPr>
            <w:tcW w:type="dxa" w:w="6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в том числе</w:t>
            </w:r>
            <w:r>
              <w:rPr>
                <w:rFonts w:ascii="Times New Roman" w:hAnsi="Times New Roman"/>
                <w:sz w:val="24"/>
              </w:rPr>
              <w:t>, количество заключений, подготовленных по результатам проведения экспертизы проектов решений и иных нормативных правовых актов Шарангского муниципального округа</w:t>
            </w:r>
          </w:p>
        </w:tc>
        <w:tc>
          <w:tcPr>
            <w:tcW w:type="dxa" w:w="1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type="dxa" w:w="1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</w:tr>
      <w:tr>
        <w:trPr>
          <w:trHeight w:hRule="atLeast" w:val="300"/>
        </w:trPr>
        <w:tc>
          <w:tcPr>
            <w:tcW w:type="dxa" w:w="6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E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Объем проверенных средств при контрольных мероприятиях (тыс. рублей)</w:t>
            </w:r>
          </w:p>
        </w:tc>
        <w:tc>
          <w:tcPr>
            <w:tcW w:type="dxa" w:w="1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19 148,8</w:t>
            </w:r>
          </w:p>
        </w:tc>
        <w:tc>
          <w:tcPr>
            <w:tcW w:type="dxa" w:w="1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18 195,6</w:t>
            </w:r>
            <w:r>
              <w:rPr>
                <w:rFonts w:ascii="Times New Roman" w:hAnsi="Times New Roman"/>
                <w:b w:val="1"/>
                <w:sz w:val="24"/>
                <w:vertAlign w:val="superscript"/>
              </w:rPr>
              <w:footnoteReference w:id="1"/>
            </w:r>
          </w:p>
        </w:tc>
      </w:tr>
      <w:tr>
        <w:trPr>
          <w:trHeight w:hRule="atLeast" w:val="300"/>
        </w:trPr>
        <w:tc>
          <w:tcPr>
            <w:tcW w:type="dxa" w:w="6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Направлено материалов по результатам контрольных мероприятий:</w:t>
            </w:r>
          </w:p>
        </w:tc>
        <w:tc>
          <w:tcPr>
            <w:tcW w:type="dxa" w:w="1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</w:t>
            </w:r>
          </w:p>
        </w:tc>
        <w:tc>
          <w:tcPr>
            <w:tcW w:type="dxa" w:w="1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</w:t>
            </w:r>
          </w:p>
        </w:tc>
      </w:tr>
      <w:tr>
        <w:trPr>
          <w:trHeight w:hRule="atLeast" w:val="300"/>
        </w:trPr>
        <w:tc>
          <w:tcPr>
            <w:tcW w:type="dxa" w:w="6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-представлений</w:t>
            </w:r>
          </w:p>
        </w:tc>
        <w:tc>
          <w:tcPr>
            <w:tcW w:type="dxa" w:w="1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rPr>
          <w:trHeight w:hRule="atLeast" w:val="300"/>
        </w:trPr>
        <w:tc>
          <w:tcPr>
            <w:tcW w:type="dxa" w:w="6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-информационных писем</w:t>
            </w:r>
          </w:p>
        </w:tc>
        <w:tc>
          <w:tcPr>
            <w:tcW w:type="dxa" w:w="1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5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14:paraId="3A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3B000000">
      <w:pPr>
        <w:spacing w:after="0" w:line="240" w:lineRule="auto"/>
        <w:ind w:firstLine="567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Экспертно-аналитическая деятельность.</w:t>
      </w:r>
    </w:p>
    <w:p w14:paraId="3C000000">
      <w:pPr>
        <w:spacing w:after="0" w:line="240" w:lineRule="auto"/>
        <w:ind w:firstLine="567" w:left="0"/>
        <w:jc w:val="center"/>
        <w:rPr>
          <w:rFonts w:ascii="Times New Roman" w:hAnsi="Times New Roman"/>
          <w:b w:val="1"/>
          <w:sz w:val="28"/>
        </w:rPr>
      </w:pPr>
    </w:p>
    <w:p w14:paraId="3D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(слайд №4) </w:t>
      </w:r>
    </w:p>
    <w:p w14:paraId="3E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3F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В рамках установленных полномочий к</w:t>
      </w:r>
      <w:r>
        <w:rPr>
          <w:rFonts w:ascii="Times New Roman" w:hAnsi="Times New Roman"/>
          <w:sz w:val="28"/>
          <w:highlight w:val="white"/>
        </w:rPr>
        <w:t xml:space="preserve">онтрольно-счетной комиссией в течение </w:t>
      </w:r>
      <w:r>
        <w:rPr>
          <w:rFonts w:ascii="Times New Roman" w:hAnsi="Times New Roman"/>
          <w:sz w:val="28"/>
          <w:highlight w:val="white"/>
        </w:rPr>
        <w:t>отчетного периода</w:t>
      </w:r>
      <w:r>
        <w:rPr>
          <w:rFonts w:ascii="Times New Roman" w:hAnsi="Times New Roman"/>
          <w:sz w:val="28"/>
          <w:highlight w:val="white"/>
        </w:rPr>
        <w:t xml:space="preserve"> проведено </w:t>
      </w:r>
      <w:r>
        <w:rPr>
          <w:rFonts w:ascii="Times New Roman" w:hAnsi="Times New Roman"/>
          <w:sz w:val="28"/>
          <w:highlight w:val="white"/>
        </w:rPr>
        <w:t>37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экспертно-аналитических мероприятий и </w:t>
      </w:r>
      <w:r>
        <w:rPr>
          <w:rFonts w:ascii="Times New Roman" w:hAnsi="Times New Roman"/>
          <w:sz w:val="28"/>
          <w:highlight w:val="white"/>
        </w:rPr>
        <w:t xml:space="preserve"> подготовлено 44 заключения.</w:t>
      </w:r>
    </w:p>
    <w:p w14:paraId="40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41000000">
      <w:pPr>
        <w:numPr>
          <w:numId w:val="2"/>
        </w:num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</w:t>
      </w:r>
      <w:r>
        <w:rPr>
          <w:rFonts w:ascii="Times New Roman" w:hAnsi="Times New Roman"/>
          <w:b w:val="1"/>
          <w:sz w:val="28"/>
        </w:rPr>
        <w:t xml:space="preserve"> э</w:t>
      </w:r>
      <w:r>
        <w:rPr>
          <w:rFonts w:ascii="Times New Roman" w:hAnsi="Times New Roman"/>
          <w:b w:val="1"/>
          <w:sz w:val="28"/>
        </w:rPr>
        <w:t>кспертизы проектов решений о внесении изменений в решение о бюджете</w:t>
      </w:r>
      <w:r>
        <w:rPr>
          <w:rFonts w:ascii="Times New Roman" w:hAnsi="Times New Roman"/>
          <w:sz w:val="28"/>
        </w:rPr>
        <w:t xml:space="preserve"> Шарангского муниципального округа на 2025 год и на плановый период 2026 и 2027 годов, подготовлено 10 заключений.</w:t>
      </w:r>
    </w:p>
    <w:p w14:paraId="42000000">
      <w:pPr>
        <w:tabs>
          <w:tab w:leader="none" w:pos="567" w:val="left"/>
          <w:tab w:leader="none" w:pos="9354" w:val="righ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Представленные проекты решений не противоречили действующему законодательству и были рекомендованы к рассмотрению на заседании Совета депутатов.</w:t>
      </w:r>
    </w:p>
    <w:p w14:paraId="43000000">
      <w:pPr>
        <w:tabs>
          <w:tab w:leader="none" w:pos="567" w:val="left"/>
          <w:tab w:leader="none" w:pos="9354" w:val="righ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 исполнении пункта 2 статьи 179 Бюджетного кодекса Российской Федерации Контрольно-счетной комиссией даны рекомендации по соблюдению сроков приведения финансового обеспечения мероприятий муниципальных программ, в соответствии с решениями о бюджете Шарангского муниципального округа.</w:t>
      </w:r>
    </w:p>
    <w:p w14:paraId="44000000">
      <w:pPr>
        <w:tabs>
          <w:tab w:leader="none" w:pos="567" w:val="left"/>
          <w:tab w:leader="none" w:pos="9354" w:val="righ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</w:t>
      </w:r>
      <w:r>
        <w:rPr>
          <w:rFonts w:ascii="Times New Roman" w:hAnsi="Times New Roman"/>
          <w:b w:val="1"/>
          <w:sz w:val="28"/>
        </w:rPr>
        <w:t>экспертизы проекта решения</w:t>
      </w:r>
      <w:r>
        <w:rPr>
          <w:rFonts w:ascii="Times New Roman" w:hAnsi="Times New Roman"/>
          <w:sz w:val="28"/>
        </w:rPr>
        <w:t xml:space="preserve"> «О бюджете Шарангского муниципального округа на 2026 год и на плановый период 2027 и 2028 годов» подготовлено 1 заключение.</w:t>
      </w:r>
    </w:p>
    <w:p w14:paraId="45000000">
      <w:pPr>
        <w:tabs>
          <w:tab w:leader="none" w:pos="567" w:val="left"/>
          <w:tab w:leader="none" w:pos="9354" w:val="righ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экспертизы рассмотрены вопросы соответствия проекта решения требованиям бюджетного законодательства, проведен ана</w:t>
      </w:r>
      <w:r>
        <w:rPr>
          <w:rFonts w:ascii="Times New Roman" w:hAnsi="Times New Roman"/>
          <w:sz w:val="28"/>
        </w:rPr>
        <w:t xml:space="preserve">лиз </w:t>
      </w:r>
      <w:r>
        <w:rPr>
          <w:rFonts w:ascii="Times New Roman" w:hAnsi="Times New Roman"/>
          <w:sz w:val="28"/>
        </w:rPr>
        <w:t>доходной части бюджета, прогнозируемых изменений показателей расходов по разделам классификации расходов бюджета, ведомственной структуре расходов бюджета в сравнении с утвержденными показателями бюджета на 2025</w:t>
      </w:r>
      <w:r>
        <w:rPr>
          <w:rFonts w:ascii="Times New Roman" w:hAnsi="Times New Roman"/>
          <w:sz w:val="28"/>
        </w:rPr>
        <w:t xml:space="preserve"> год, анализ плановых расходов на реализацию муниципальных программ и непрограммных расходов.</w:t>
      </w:r>
    </w:p>
    <w:p w14:paraId="46000000">
      <w:pPr>
        <w:tabs>
          <w:tab w:leader="none" w:pos="567" w:val="left"/>
          <w:tab w:leader="none" w:pos="9354" w:val="right"/>
        </w:tabs>
        <w:spacing w:after="0" w:line="240" w:lineRule="auto"/>
        <w:ind w:firstLine="567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0"/>
          <w:sz w:val="28"/>
        </w:rPr>
        <w:t xml:space="preserve">2. По результатам </w:t>
      </w:r>
      <w:r>
        <w:rPr>
          <w:rFonts w:ascii="Times New Roman" w:hAnsi="Times New Roman"/>
          <w:b w:val="1"/>
          <w:sz w:val="28"/>
        </w:rPr>
        <w:t>экспертизы проектов иных решений и нормативных правовых актов</w:t>
      </w:r>
      <w:r>
        <w:rPr>
          <w:rFonts w:ascii="Times New Roman" w:hAnsi="Times New Roman"/>
          <w:b w:val="0"/>
          <w:sz w:val="28"/>
        </w:rPr>
        <w:t xml:space="preserve"> Шарангского муниципального округа, направленных в Контрольно-счетную комиссию, подготовлено 21 заключение без замечаний.</w:t>
      </w:r>
    </w:p>
    <w:p w14:paraId="47000000">
      <w:pPr>
        <w:tabs>
          <w:tab w:leader="none" w:pos="567" w:val="left"/>
          <w:tab w:leader="none" w:pos="9354" w:val="right"/>
        </w:tabs>
        <w:spacing w:after="0"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3. По итогам</w:t>
      </w:r>
      <w:r>
        <w:rPr>
          <w:rFonts w:ascii="Times New Roman" w:hAnsi="Times New Roman"/>
          <w:b w:val="1"/>
          <w:sz w:val="28"/>
        </w:rPr>
        <w:t xml:space="preserve"> оперативного анализа исполнения бюджета</w:t>
      </w:r>
      <w:r>
        <w:rPr>
          <w:rFonts w:ascii="Times New Roman" w:hAnsi="Times New Roman"/>
          <w:b w:val="0"/>
          <w:sz w:val="28"/>
        </w:rPr>
        <w:t xml:space="preserve"> Шарангского муниципального округа за 1 квартал, 1 полугодие и 9 месяцев 2025 года подготовлено три заключения. </w:t>
      </w:r>
    </w:p>
    <w:p w14:paraId="48000000">
      <w:pPr>
        <w:tabs>
          <w:tab w:leader="none" w:pos="567" w:val="left"/>
          <w:tab w:leader="none" w:pos="9354" w:val="right"/>
        </w:tabs>
        <w:spacing w:after="0"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4. По результатам </w:t>
      </w:r>
      <w:r>
        <w:rPr>
          <w:rFonts w:ascii="Times New Roman" w:hAnsi="Times New Roman"/>
          <w:b w:val="1"/>
          <w:sz w:val="28"/>
        </w:rPr>
        <w:t>внешней проверки годового отчета об исполнении бюджета</w:t>
      </w:r>
      <w:r>
        <w:rPr>
          <w:rFonts w:ascii="Times New Roman" w:hAnsi="Times New Roman"/>
          <w:b w:val="0"/>
          <w:sz w:val="28"/>
        </w:rPr>
        <w:t xml:space="preserve"> Шарангского муниципального округа за 2024 год подготовлено 1 заключение с замечаниями и предложениями</w:t>
      </w:r>
      <w:r>
        <w:rPr>
          <w:rFonts w:ascii="Times New Roman" w:hAnsi="Times New Roman"/>
          <w:b w:val="0"/>
          <w:sz w:val="28"/>
        </w:rPr>
        <w:t>:</w:t>
      </w:r>
    </w:p>
    <w:p w14:paraId="49000000">
      <w:pPr>
        <w:spacing w:line="240" w:lineRule="auto"/>
        <w:ind w:firstLine="0" w:left="72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-соблюдать сроки, утвержденные п.2 статьи 179 Бюджетного кодекса РФ, приведения в соответствии с решением о бюджете Шарангского муниципального округа сумм финансирования муниципальных программ;</w:t>
      </w:r>
    </w:p>
    <w:p w14:paraId="4A000000">
      <w:pPr>
        <w:spacing w:line="240" w:lineRule="auto"/>
        <w:ind w:firstLine="0" w:left="72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-не допускать принятия муниципальных программ, не включенных в Реестр муниципальных программ Шарангского муниципального округа Нижегородской области.</w:t>
      </w:r>
    </w:p>
    <w:p w14:paraId="4B000000">
      <w:pPr>
        <w:tabs>
          <w:tab w:leader="none" w:pos="567" w:val="left"/>
          <w:tab w:leader="none" w:pos="9354" w:val="right"/>
        </w:tabs>
        <w:spacing w:after="0" w:line="240" w:lineRule="auto"/>
        <w:ind w:firstLine="567" w:left="0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5. В 2025 году комиссией проведено тематическое экспертно-аналитическое мероприятие:</w:t>
      </w:r>
    </w:p>
    <w:p w14:paraId="4C000000">
      <w:pPr>
        <w:tabs>
          <w:tab w:leader="none" w:pos="567" w:val="left"/>
          <w:tab w:leader="none" w:pos="9354" w:val="right"/>
        </w:tabs>
        <w:spacing w:after="0" w:line="240" w:lineRule="auto"/>
        <w:ind w:firstLine="567" w:left="0"/>
        <w:jc w:val="both"/>
        <w:rPr>
          <w:rFonts w:ascii="Times New Roman" w:hAnsi="Times New Roman"/>
          <w:b w:val="1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</w:t>
      </w:r>
      <w:r>
        <w:rPr>
          <w:rFonts w:ascii="Times New Roman" w:hAnsi="Times New Roman"/>
          <w:b w:val="1"/>
          <w:i w:val="0"/>
          <w:sz w:val="28"/>
        </w:rPr>
        <w:t>Камеральная внешняя проверка бюджетной отчетности за 2024 год главных администраторов бюджетных средств.</w:t>
      </w:r>
    </w:p>
    <w:p w14:paraId="4D000000">
      <w:pPr>
        <w:spacing w:line="240" w:lineRule="auto"/>
        <w:ind w:firstLine="567" w:left="0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sz w:val="28"/>
        </w:rPr>
        <w:t>По результатам проведения камеральной внешней проверки годовой бюджетной отчетности по каждому ГАБС подготовлено и направлено заключение (8 заключений), содержащие установленные нарушения (недостатки)</w:t>
      </w:r>
      <w:r>
        <w:rPr>
          <w:rFonts w:ascii="Times New Roman" w:hAnsi="Times New Roman"/>
          <w:b w:val="0"/>
          <w:sz w:val="28"/>
        </w:rPr>
        <w:t>, даны предложения, а именно:</w:t>
      </w:r>
    </w:p>
    <w:p w14:paraId="4E000000">
      <w:pPr>
        <w:spacing w:line="240" w:lineRule="auto"/>
        <w:ind w:firstLine="567" w:left="0"/>
        <w:contextualSpacing w:val="1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-усилить контроль за соблюдением порядка составления бюджетной отчетности;</w:t>
      </w:r>
    </w:p>
    <w:p w14:paraId="4F000000">
      <w:pPr>
        <w:tabs>
          <w:tab w:leader="none" w:pos="567" w:val="left"/>
          <w:tab w:leader="none" w:pos="9354" w:val="righ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b w:val="0"/>
          <w:color w:val="000000"/>
          <w:sz w:val="28"/>
        </w:rPr>
        <w:t>-опубликовать на официальном сайте основные положения учетной политики и (или) копии документов учетной политики.</w:t>
      </w:r>
    </w:p>
    <w:p w14:paraId="50000000">
      <w:pPr>
        <w:spacing w:line="240" w:lineRule="auto"/>
        <w:ind w:firstLine="567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Полнота бюджетной отчетности в целом подтверждена у 8 ГАБС. В состав бюджетной отчетности двух ГАБС</w:t>
      </w:r>
      <w:r>
        <w:rPr>
          <w:rFonts w:ascii="Times New Roman" w:hAnsi="Times New Roman"/>
          <w:b w:val="0"/>
          <w:i w:val="1"/>
          <w:sz w:val="28"/>
        </w:rPr>
        <w:t xml:space="preserve"> (Совет депутатов, управление образования)</w:t>
      </w:r>
      <w:r>
        <w:rPr>
          <w:rFonts w:ascii="Times New Roman" w:hAnsi="Times New Roman"/>
          <w:b w:val="0"/>
          <w:sz w:val="28"/>
        </w:rPr>
        <w:t xml:space="preserve"> включены формы, которые исключены из состава бюджетной отчетности Приказом Минфина России от 31.01.2020г. №13н. </w:t>
      </w:r>
    </w:p>
    <w:p w14:paraId="51000000">
      <w:pPr>
        <w:tabs>
          <w:tab w:leader="none" w:pos="567" w:val="left"/>
          <w:tab w:leader="none" w:pos="9354" w:val="right"/>
        </w:tabs>
        <w:spacing w:after="0" w:line="240" w:lineRule="auto"/>
        <w:ind w:firstLine="567" w:left="0"/>
        <w:jc w:val="both"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sz w:val="28"/>
        </w:rPr>
        <w:t>Информативность, представленной бюджетной отчетности, в целом подтверждена у 8 ГАБС, за исключением информативности отдельных форм 2 ГАБС</w:t>
      </w:r>
      <w:r>
        <w:rPr>
          <w:rFonts w:ascii="Times New Roman" w:hAnsi="Times New Roman"/>
          <w:b w:val="0"/>
          <w:i w:val="1"/>
          <w:sz w:val="28"/>
        </w:rPr>
        <w:t xml:space="preserve"> (ОК, Совет депутатов)</w:t>
      </w:r>
      <w:r>
        <w:rPr>
          <w:rFonts w:ascii="Times New Roman" w:hAnsi="Times New Roman"/>
          <w:b w:val="0"/>
          <w:i w:val="1"/>
          <w:sz w:val="28"/>
        </w:rPr>
        <w:t xml:space="preserve"> (не указана обязательная для отражения информация в текстовой части Пояснительной записки; не раскрыты причины отклонений от планового процента исполнения по расходам ф.0503164 «Сведения об исполнении бюджета»).</w:t>
      </w:r>
    </w:p>
    <w:p w14:paraId="52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53000000">
      <w:pPr>
        <w:spacing w:after="0" w:line="240" w:lineRule="auto"/>
        <w:ind w:firstLine="567" w:left="0"/>
        <w:jc w:val="center"/>
        <w:rPr>
          <w:rFonts w:ascii="Times New Roman" w:hAnsi="Times New Roman"/>
          <w:b w:val="1"/>
          <w:sz w:val="28"/>
        </w:rPr>
      </w:pPr>
    </w:p>
    <w:p w14:paraId="54000000">
      <w:pPr>
        <w:spacing w:after="0" w:line="240" w:lineRule="auto"/>
        <w:ind w:firstLine="567" w:left="0"/>
        <w:jc w:val="center"/>
        <w:rPr>
          <w:rFonts w:ascii="Times New Roman" w:hAnsi="Times New Roman"/>
          <w:b w:val="1"/>
          <w:sz w:val="28"/>
        </w:rPr>
      </w:pPr>
    </w:p>
    <w:p w14:paraId="55000000">
      <w:pPr>
        <w:spacing w:after="0" w:line="240" w:lineRule="auto"/>
        <w:ind w:firstLine="567" w:left="0"/>
        <w:jc w:val="center"/>
        <w:rPr>
          <w:rFonts w:ascii="Times New Roman" w:hAnsi="Times New Roman"/>
          <w:b w:val="1"/>
          <w:sz w:val="28"/>
        </w:rPr>
      </w:pPr>
    </w:p>
    <w:p w14:paraId="56000000">
      <w:pPr>
        <w:spacing w:after="0" w:line="240" w:lineRule="auto"/>
        <w:ind w:firstLine="567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Результаты контрольных мероприятий</w:t>
      </w:r>
    </w:p>
    <w:p w14:paraId="57000000">
      <w:pPr>
        <w:spacing w:after="0" w:line="240" w:lineRule="auto"/>
        <w:ind w:firstLine="567" w:left="0"/>
        <w:jc w:val="center"/>
        <w:rPr>
          <w:rFonts w:ascii="Times New Roman" w:hAnsi="Times New Roman"/>
          <w:b w:val="1"/>
          <w:sz w:val="28"/>
        </w:rPr>
      </w:pPr>
    </w:p>
    <w:p w14:paraId="58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(слайд №5)</w:t>
      </w:r>
    </w:p>
    <w:p w14:paraId="59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5A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2025 году </w:t>
      </w:r>
      <w:r>
        <w:rPr>
          <w:rFonts w:ascii="Times New Roman" w:hAnsi="Times New Roman"/>
          <w:b w:val="1"/>
          <w:sz w:val="28"/>
        </w:rPr>
        <w:t>контрольные мероприятия</w:t>
      </w:r>
      <w:r>
        <w:rPr>
          <w:rFonts w:ascii="Times New Roman" w:hAnsi="Times New Roman"/>
          <w:sz w:val="28"/>
        </w:rPr>
        <w:t xml:space="preserve"> были направлены на проверку целевого и эффективного использования бюджетных средств. </w:t>
      </w:r>
    </w:p>
    <w:p w14:paraId="5B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Контрольно-счетной комиссией проведены следующие контрольные мероприятия:</w:t>
      </w:r>
    </w:p>
    <w:p w14:paraId="5C000000">
      <w:pPr>
        <w:spacing w:after="0" w:line="240" w:lineRule="auto"/>
        <w:ind w:firstLine="567" w:left="0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</w:t>
      </w: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 xml:space="preserve"> Проверка законности и эффективности использования средств бюджетов всех уровней, направленных в 2023-2024 годах на реализацию мероприятий по исполнению требований по антитеррористической защищенности объектов образования;</w:t>
      </w:r>
    </w:p>
    <w:p w14:paraId="5D000000">
      <w:pPr>
        <w:spacing w:after="0" w:line="240" w:lineRule="auto"/>
        <w:ind w:firstLine="567" w:left="0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-Проверка</w:t>
      </w: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 xml:space="preserve"> з</w:t>
      </w:r>
      <w:r>
        <w:rPr>
          <w:rFonts w:ascii="Times New Roman" w:hAnsi="Times New Roman"/>
          <w:b w:val="0"/>
          <w:i w:val="0"/>
          <w:sz w:val="28"/>
        </w:rPr>
        <w:t>аконности и эффективности использования средств бюджетов всех уровней, направленных в 2024 году на создание (обустройство) контейнерных площадок, приобретение контейнеров и (или) бункеров;</w:t>
      </w:r>
    </w:p>
    <w:p w14:paraId="5E000000">
      <w:pPr>
        <w:spacing w:after="0" w:line="240" w:lineRule="auto"/>
        <w:ind w:firstLine="567" w:left="0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-Проверка законности и эффективности использования средств бюджетов всех уровней, направленных в 2024 году </w:t>
      </w:r>
      <w:r>
        <w:rPr>
          <w:rFonts w:ascii="Times New Roman" w:hAnsi="Times New Roman"/>
          <w:b w:val="0"/>
          <w:i w:val="0"/>
          <w:sz w:val="28"/>
        </w:rPr>
        <w:t>на реализацию проекта инициативного бюджетирования «Вам решать</w:t>
      </w:r>
      <w:r>
        <w:rPr>
          <w:rFonts w:ascii="Times New Roman" w:hAnsi="Times New Roman"/>
          <w:b w:val="0"/>
          <w:i w:val="0"/>
          <w:sz w:val="28"/>
        </w:rPr>
        <w:t>!</w:t>
      </w:r>
      <w:r>
        <w:rPr>
          <w:rFonts w:ascii="Times New Roman" w:hAnsi="Times New Roman"/>
          <w:b w:val="0"/>
          <w:i w:val="0"/>
          <w:sz w:val="28"/>
        </w:rPr>
        <w:t>»;</w:t>
      </w:r>
    </w:p>
    <w:p w14:paraId="5F000000">
      <w:pPr>
        <w:spacing w:after="0" w:line="240" w:lineRule="auto"/>
        <w:ind w:firstLine="567" w:left="0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</w:t>
      </w:r>
      <w:r>
        <w:rPr>
          <w:rFonts w:ascii="Times New Roman" w:hAnsi="Times New Roman"/>
          <w:b w:val="0"/>
          <w:i w:val="0"/>
          <w:color w:val="000000"/>
          <w:sz w:val="28"/>
        </w:rPr>
        <w:t>Проверка законности и эффективности использования средств бюджетов всех уровней, направленных на обеспечение развития и укрепления материально-технической базы домов культуры в населенных пунктах с числом жителей до 50 тысяч челове</w:t>
      </w:r>
      <w:r>
        <w:rPr>
          <w:rFonts w:ascii="Times New Roman" w:hAnsi="Times New Roman"/>
          <w:b w:val="0"/>
          <w:i w:val="0"/>
          <w:sz w:val="28"/>
        </w:rPr>
        <w:t>к;</w:t>
      </w:r>
    </w:p>
    <w:p w14:paraId="60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-Внеплановая проверка финансово-хозяйственной деятельности МУП «ЖКХ» за период 2023-2024 гг. по вопросу соблюдения бюджетного законодательства указанной организации в части расходования денежных средств.</w:t>
      </w:r>
    </w:p>
    <w:p w14:paraId="61000000">
      <w:pPr>
        <w:spacing w:after="0" w:line="240" w:lineRule="auto"/>
        <w:ind w:firstLine="567" w:left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 xml:space="preserve">Контрольными мероприятиями в 2025 году охвачено 6 объектов, составлено 4 акта, 1 справка. </w:t>
      </w:r>
      <w:r>
        <w:rPr>
          <w:rFonts w:ascii="Times New Roman" w:hAnsi="Times New Roman"/>
          <w:sz w:val="28"/>
        </w:rPr>
        <w:t>В рамках проверок проводились выборочные визуальные осмотры и контрольные обмеры объектов.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Акты проверок подписаны без разногласий (возражений). Справка с результатами внеплановой проверки направлена в Шарангскую межрайонную прокуратуру.</w:t>
      </w:r>
      <w:r>
        <w:rPr>
          <w:rFonts w:ascii="Times New Roman" w:hAnsi="Times New Roman"/>
          <w:b w:val="0"/>
          <w:i w:val="1"/>
          <w:sz w:val="28"/>
        </w:rPr>
        <w:t xml:space="preserve"> Итоги внеплановой проверки до контрольно-счетной комиссии не доведены.</w:t>
      </w:r>
    </w:p>
    <w:p w14:paraId="62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63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(слайд №6)</w:t>
      </w:r>
    </w:p>
    <w:p w14:paraId="64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65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Основные </w:t>
      </w:r>
      <w:r>
        <w:rPr>
          <w:rFonts w:ascii="Times New Roman" w:hAnsi="Times New Roman"/>
          <w:sz w:val="28"/>
        </w:rPr>
        <w:t>нарушения, выявленные в ходе контрольных мероприятий:</w:t>
      </w:r>
    </w:p>
    <w:p w14:paraId="66000000">
      <w:pPr>
        <w:numPr>
          <w:numId w:val="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нарушения при формировании и исполнении бюджета</w:t>
      </w:r>
      <w:r>
        <w:rPr>
          <w:rFonts w:ascii="Times New Roman" w:hAnsi="Times New Roman"/>
          <w:sz w:val="28"/>
        </w:rPr>
        <w:t>, из них:</w:t>
      </w:r>
    </w:p>
    <w:p w14:paraId="67000000">
      <w:pPr>
        <w:numPr>
          <w:numId w:val="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нарушения сроков заключения соглашений;</w:t>
      </w:r>
    </w:p>
    <w:p w14:paraId="68000000">
      <w:pPr>
        <w:numPr>
          <w:numId w:val="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предоставление отчетов по соглашениям о предоставлении субсидии;</w:t>
      </w:r>
    </w:p>
    <w:p w14:paraId="69000000">
      <w:pPr>
        <w:numPr>
          <w:numId w:val="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нарушение срока предоставления заявки на перечисление субсидии;</w:t>
      </w:r>
    </w:p>
    <w:p w14:paraId="6A000000">
      <w:pPr>
        <w:numPr>
          <w:numId w:val="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отсутствие в соглашениях о предоставлении субсидии на иные цели муниципальному бюджетному учреждению отдельных пунктов, утвержденных Типовой формой соглашения;</w:t>
      </w:r>
    </w:p>
    <w:p w14:paraId="6B000000">
      <w:pPr>
        <w:numPr>
          <w:numId w:val="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отсутствие уточненных плановых значений индикаторов достижения целей в муниципальной программе;</w:t>
      </w:r>
    </w:p>
    <w:p w14:paraId="6C000000">
      <w:pPr>
        <w:numPr>
          <w:numId w:val="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несоблюдение уровня софинансирования расходных обязательств, предусмотренных соглашением, при оплате договоров, контрактов;</w:t>
      </w:r>
    </w:p>
    <w:p w14:paraId="6D000000">
      <w:pPr>
        <w:numPr>
          <w:numId w:val="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нарушения при осуществлении муниципальных закупок</w:t>
      </w:r>
      <w:r>
        <w:rPr>
          <w:rFonts w:ascii="Times New Roman" w:hAnsi="Times New Roman"/>
          <w:sz w:val="28"/>
        </w:rPr>
        <w:t>, из них:</w:t>
      </w:r>
    </w:p>
    <w:p w14:paraId="6E000000">
      <w:pPr>
        <w:numPr>
          <w:numId w:val="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нарушения условий исполнения контрактов (договоров), в том числе своевременность расчетов по контракту (договору);</w:t>
      </w:r>
    </w:p>
    <w:p w14:paraId="6F000000">
      <w:pPr>
        <w:numPr>
          <w:numId w:val="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приемка и оплата фактически невыполненных работ по условиям контракта;</w:t>
      </w:r>
    </w:p>
    <w:p w14:paraId="70000000">
      <w:pPr>
        <w:numPr>
          <w:numId w:val="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принятие выполненных работ без предоставления Подрядчиком обеспечения исполнения гарантийных обязательств;</w:t>
      </w:r>
    </w:p>
    <w:p w14:paraId="71000000">
      <w:pPr>
        <w:numPr>
          <w:numId w:val="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отсутствие экспертизы выполненных работ, предусмотренной условиями контракта;</w:t>
      </w:r>
    </w:p>
    <w:p w14:paraId="72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b w:val="1"/>
          <w:sz w:val="28"/>
        </w:rPr>
        <w:t>нарушения установленных единых требований к бюджетному (бухгалтерскому) учету</w:t>
      </w:r>
      <w:r>
        <w:rPr>
          <w:rFonts w:ascii="Times New Roman" w:hAnsi="Times New Roman"/>
          <w:sz w:val="28"/>
        </w:rPr>
        <w:t>, из них:</w:t>
      </w:r>
    </w:p>
    <w:p w14:paraId="73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-занижение данных о наличии имущества на балансовых счетах;</w:t>
      </w:r>
    </w:p>
    <w:p w14:paraId="74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-несвоевременное отражение в бухгалтерском учете фактов хозяйственной жизни результатов операций;</w:t>
      </w:r>
    </w:p>
    <w:p w14:paraId="75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-оформление фактов хозяйственной жизни без надлежаще оформленных первичных учетных документов.</w:t>
      </w:r>
    </w:p>
    <w:p w14:paraId="76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отчетном году по итогам контрольных мероприятий нецелевого использования бюджетных средств не установлено.</w:t>
      </w:r>
    </w:p>
    <w:p w14:paraId="77000000">
      <w:pPr>
        <w:tabs>
          <w:tab w:leader="none" w:pos="567" w:val="left"/>
          <w:tab w:leader="none" w:pos="9354" w:val="right"/>
        </w:tabs>
        <w:spacing w:after="0" w:line="240" w:lineRule="auto"/>
        <w:ind w:firstLine="567" w:left="0"/>
        <w:jc w:val="both"/>
        <w:rPr>
          <w:rFonts w:ascii="Times New Roman" w:hAnsi="Times New Roman"/>
          <w:b w:val="1"/>
          <w:i w:val="1"/>
          <w:sz w:val="28"/>
        </w:rPr>
      </w:pPr>
    </w:p>
    <w:p w14:paraId="78000000">
      <w:pPr>
        <w:tabs>
          <w:tab w:leader="none" w:pos="567" w:val="left"/>
          <w:tab w:leader="none" w:pos="9354" w:val="right"/>
        </w:tabs>
        <w:spacing w:after="0" w:line="240" w:lineRule="auto"/>
        <w:ind w:firstLine="567" w:left="0"/>
        <w:jc w:val="both"/>
        <w:rPr>
          <w:rFonts w:ascii="Times New Roman" w:hAnsi="Times New Roman"/>
          <w:b w:val="1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Во исполнение представлений контрольно-счетной комиссии и информационного письма объектами контрольных мероприятий:</w:t>
      </w:r>
    </w:p>
    <w:p w14:paraId="79000000">
      <w:pPr>
        <w:tabs>
          <w:tab w:leader="none" w:pos="567" w:val="left"/>
          <w:tab w:leader="none" w:pos="9354" w:val="right"/>
        </w:tabs>
        <w:spacing w:after="0" w:line="240" w:lineRule="auto"/>
        <w:ind w:firstLine="567" w:left="0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-внесены изменения в муниципальную программу «Экология Шарангского муниципального округа на 2021-2025 годы» в части плановых значений индикаторов достижения целей;</w:t>
      </w:r>
    </w:p>
    <w:p w14:paraId="7A000000">
      <w:pPr>
        <w:tabs>
          <w:tab w:leader="none" w:pos="567" w:val="left"/>
          <w:tab w:leader="none" w:pos="9354" w:val="right"/>
        </w:tabs>
        <w:spacing w:after="0" w:line="240" w:lineRule="auto"/>
        <w:ind w:firstLine="567" w:left="0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-внесены изменения в Реестр мест (площадок) накопления твердых коммунальных отходов, расположенных на территории Шарангского муниципального округа.</w:t>
      </w:r>
    </w:p>
    <w:p w14:paraId="7B000000">
      <w:pPr>
        <w:tabs>
          <w:tab w:leader="none" w:pos="567" w:val="left"/>
          <w:tab w:leader="none" w:pos="9354" w:val="right"/>
        </w:tabs>
        <w:spacing w:after="0"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-учтены и приняты к сведению нарушения в части</w:t>
      </w:r>
      <w:r>
        <w:rPr>
          <w:rFonts w:ascii="Times New Roman" w:hAnsi="Times New Roman"/>
          <w:b w:val="0"/>
          <w:sz w:val="28"/>
        </w:rPr>
        <w:t xml:space="preserve"> с</w:t>
      </w:r>
      <w:r>
        <w:rPr>
          <w:rFonts w:ascii="Times New Roman" w:hAnsi="Times New Roman"/>
          <w:b w:val="0"/>
          <w:sz w:val="28"/>
        </w:rPr>
        <w:t xml:space="preserve">облюдения Порядка определения объема и условий предоставления муниципальным бюджетным и муниципальным автономным учреждениям субсидий на иные цели; </w:t>
      </w:r>
      <w:r>
        <w:rPr>
          <w:rFonts w:ascii="Times New Roman" w:hAnsi="Times New Roman"/>
          <w:b w:val="0"/>
          <w:sz w:val="28"/>
        </w:rPr>
        <w:t>Типовой формы соглашения при заключении</w:t>
      </w:r>
      <w:r>
        <w:rPr>
          <w:sz w:val="28"/>
        </w:rPr>
        <w:t xml:space="preserve"> Соглашений о предоставлении из бюджета округа субсидии на иные цели; с</w:t>
      </w:r>
      <w:r>
        <w:rPr>
          <w:rFonts w:ascii="Times New Roman" w:hAnsi="Times New Roman"/>
          <w:b w:val="0"/>
          <w:sz w:val="28"/>
        </w:rPr>
        <w:t>облюдения сроков оплаты контрактов, договоров;</w:t>
      </w:r>
    </w:p>
    <w:p w14:paraId="7C000000">
      <w:pPr>
        <w:tabs>
          <w:tab w:leader="none" w:pos="567" w:val="left"/>
          <w:tab w:leader="none" w:pos="9354" w:val="right"/>
        </w:tabs>
        <w:spacing w:after="0"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-в период проведения проверки Подрядчиком устранены нарушения в части   </w:t>
      </w:r>
      <w:r>
        <w:rPr>
          <w:rFonts w:ascii="Times New Roman" w:hAnsi="Times New Roman"/>
          <w:sz w:val="28"/>
        </w:rPr>
        <w:t>невыполненных работ по условиям контракта;</w:t>
      </w:r>
    </w:p>
    <w:p w14:paraId="7D000000">
      <w:pPr>
        <w:tabs>
          <w:tab w:leader="none" w:pos="567" w:val="left"/>
          <w:tab w:leader="none" w:pos="9354" w:val="right"/>
        </w:tabs>
        <w:spacing w:after="0"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-д</w:t>
      </w:r>
      <w:r>
        <w:rPr>
          <w:rFonts w:ascii="Times New Roman" w:hAnsi="Times New Roman"/>
          <w:b w:val="0"/>
          <w:sz w:val="28"/>
        </w:rPr>
        <w:t>о руководителей муниципальных бюджетных учреждений управлением образования и молодежной политики доведена информация о должном контроле при приемке поставленных товаров, выполненных работ, оказанных услуг;</w:t>
      </w:r>
    </w:p>
    <w:p w14:paraId="7E000000">
      <w:pPr>
        <w:tabs>
          <w:tab w:leader="none" w:pos="567" w:val="left"/>
          <w:tab w:leader="none" w:pos="9354" w:val="right"/>
        </w:tabs>
        <w:spacing w:after="0"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-в</w:t>
      </w:r>
      <w:r>
        <w:rPr>
          <w:rFonts w:ascii="Times New Roman" w:hAnsi="Times New Roman"/>
          <w:b w:val="0"/>
          <w:sz w:val="28"/>
        </w:rPr>
        <w:t xml:space="preserve"> Учетную политику для целей бюджетного учета внесены изменения, в части особенностей учета единых функционирующих систем;</w:t>
      </w:r>
    </w:p>
    <w:p w14:paraId="7F000000">
      <w:pPr>
        <w:tabs>
          <w:tab w:leader="none" w:pos="567" w:val="left"/>
          <w:tab w:leader="none" w:pos="9354" w:val="right"/>
        </w:tabs>
        <w:spacing w:after="0"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-обеспечен учет основных средств на сумму 119 720,00 руб.;</w:t>
      </w:r>
    </w:p>
    <w:p w14:paraId="80000000">
      <w:pPr>
        <w:tabs>
          <w:tab w:leader="none" w:pos="567" w:val="left"/>
          <w:tab w:leader="none" w:pos="9354" w:val="right"/>
        </w:tabs>
        <w:spacing w:after="0"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-применены меры дисциплинарного воздействия в виде замечания на руководителя объекта контроля.</w:t>
      </w:r>
    </w:p>
    <w:p w14:paraId="81000000">
      <w:pPr>
        <w:tabs>
          <w:tab w:leader="none" w:pos="567" w:val="left"/>
          <w:tab w:leader="none" w:pos="9354" w:val="right"/>
        </w:tabs>
        <w:spacing w:after="0" w:line="240" w:lineRule="auto"/>
        <w:ind w:firstLine="567" w:left="0"/>
        <w:jc w:val="both"/>
        <w:rPr>
          <w:rFonts w:ascii="Times New Roman" w:hAnsi="Times New Roman"/>
          <w:b w:val="0"/>
          <w:i w:val="0"/>
          <w:sz w:val="28"/>
        </w:rPr>
      </w:pPr>
    </w:p>
    <w:p w14:paraId="82000000">
      <w:pPr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4"/>
        </w:rPr>
      </w:pPr>
    </w:p>
    <w:p w14:paraId="83000000">
      <w:pPr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4"/>
        </w:rPr>
      </w:pPr>
    </w:p>
    <w:p w14:paraId="84000000">
      <w:pPr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4"/>
        </w:rPr>
      </w:pPr>
    </w:p>
    <w:p w14:paraId="85000000">
      <w:pPr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8"/>
        </w:rPr>
        <w:t>Информационная и организационная деятельность</w:t>
      </w:r>
    </w:p>
    <w:p w14:paraId="86000000">
      <w:pPr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4"/>
        </w:rPr>
      </w:pPr>
    </w:p>
    <w:p w14:paraId="87000000">
      <w:pPr>
        <w:tabs>
          <w:tab w:leader="none" w:pos="567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  <w:highlight w:val="white"/>
        </w:rPr>
        <w:t xml:space="preserve"> (слайд №7)</w:t>
      </w:r>
    </w:p>
    <w:p w14:paraId="88000000">
      <w:pPr>
        <w:tabs>
          <w:tab w:leader="none" w:pos="567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89000000">
      <w:pPr>
        <w:tabs>
          <w:tab w:leader="none" w:pos="567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 В целях реализации принципа гласности на странице официального сайта администрации Шарангского муниципального округа Нижегородской области размещена общая информация о контрольно-счетной комиссии, </w:t>
      </w:r>
      <w:r>
        <w:rPr>
          <w:rFonts w:ascii="Times New Roman" w:hAnsi="Times New Roman"/>
          <w:sz w:val="28"/>
        </w:rPr>
        <w:t xml:space="preserve">нормативные правовые акты, регулирующие деятельность контрольно-счетной комиссии, </w:t>
      </w:r>
      <w:r>
        <w:rPr>
          <w:rFonts w:ascii="Times New Roman" w:hAnsi="Times New Roman"/>
          <w:sz w:val="28"/>
        </w:rPr>
        <w:t xml:space="preserve">стандарты финансового контроля и организации деятельности комиссии, </w:t>
      </w:r>
      <w:r>
        <w:rPr>
          <w:rFonts w:ascii="Times New Roman" w:hAnsi="Times New Roman"/>
          <w:sz w:val="28"/>
        </w:rPr>
        <w:t>годовые планы работы и отчеты о работе комиссии, информация о прове</w:t>
      </w:r>
      <w:r>
        <w:rPr>
          <w:rFonts w:ascii="Times New Roman" w:hAnsi="Times New Roman"/>
          <w:sz w:val="28"/>
        </w:rPr>
        <w:t>денных контрольных и экспертно-аналитических мероприятиях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8A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Соглашением о взаимодействии между Контрольно-счетной комиссией и Шарангской межрайонной прокуратурой Отчеты о результатах проведенных контрольных мероприятий направлялись в Шарангскую межрайонную прокуратуру.</w:t>
      </w:r>
    </w:p>
    <w:p w14:paraId="8B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 результатах проведенных экспертно-аналитических и контрольных мероприятий направлялась в Совет депутатов Шарангского муниципального округа Нижегородской области и Главе местного самоуправления Шарангского муниципального округа.</w:t>
      </w:r>
    </w:p>
    <w:p w14:paraId="8C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8D000000">
      <w:pPr>
        <w:tabs>
          <w:tab w:leader="none" w:pos="567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  <w:highlight w:val="white"/>
        </w:rPr>
        <w:t xml:space="preserve"> (слайд №8)</w:t>
      </w:r>
    </w:p>
    <w:p w14:paraId="8E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8F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отчетном периоде председатель контрольно-счетной комиссии прошел обучение по программам «Функции подразделений по профилактике коррупционных и иных правонарушений» и «Контрактная система в сфере закупок товаров, работ, услуг для обеспечения государственных и муниципальных нужд».</w:t>
      </w:r>
    </w:p>
    <w:p w14:paraId="90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91000000">
      <w:pPr>
        <w:tabs>
          <w:tab w:leader="none" w:pos="567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  <w:highlight w:val="white"/>
        </w:rPr>
        <w:t xml:space="preserve"> (слайд №9)</w:t>
      </w:r>
    </w:p>
    <w:p w14:paraId="92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93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актуальным вопросам деятельности комиссия принимала участие в видеоконференциях, организованных Союзом муниципальных контрольно-счетных органов. В апреле 2025 года комиссия приняла участие в форуме «Межмуниципальное взаимодействие органов финансового контроля Нижегородской области».</w:t>
      </w:r>
    </w:p>
    <w:p w14:paraId="94000000">
      <w:pPr>
        <w:tabs>
          <w:tab w:leader="none" w:pos="567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95000000">
      <w:pPr>
        <w:spacing w:after="0" w:line="240" w:lineRule="auto"/>
        <w:ind w:firstLine="567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Основные задачи на 2026 год</w:t>
      </w:r>
    </w:p>
    <w:p w14:paraId="96000000">
      <w:pPr>
        <w:spacing w:after="0" w:line="240" w:lineRule="auto"/>
        <w:ind w:firstLine="567" w:left="0"/>
        <w:jc w:val="center"/>
        <w:rPr>
          <w:rFonts w:ascii="Times New Roman" w:hAnsi="Times New Roman"/>
          <w:b w:val="1"/>
          <w:sz w:val="28"/>
        </w:rPr>
      </w:pPr>
    </w:p>
    <w:p w14:paraId="97000000">
      <w:pPr>
        <w:spacing w:after="0"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План работы на 2026 год утвержден распоряжением Контрольно-счетной комиссии и размещен на официальном сайте администрации Шарангского муниципального округа Нижегородской области.</w:t>
      </w:r>
    </w:p>
    <w:p w14:paraId="98000000">
      <w:pPr>
        <w:spacing w:after="0"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Основные направления деятельности </w:t>
      </w:r>
      <w:r>
        <w:rPr>
          <w:rFonts w:ascii="Times New Roman" w:hAnsi="Times New Roman"/>
          <w:color w:val="000000"/>
          <w:sz w:val="28"/>
          <w:highlight w:val="white"/>
        </w:rPr>
        <w:t>К</w:t>
      </w:r>
      <w:r>
        <w:rPr>
          <w:rFonts w:ascii="Times New Roman" w:hAnsi="Times New Roman"/>
          <w:sz w:val="28"/>
        </w:rPr>
        <w:t xml:space="preserve">онтрольно-счетной </w:t>
      </w:r>
      <w:r>
        <w:rPr>
          <w:rFonts w:ascii="Times New Roman" w:hAnsi="Times New Roman"/>
          <w:sz w:val="28"/>
        </w:rPr>
        <w:t>комиссии</w:t>
      </w:r>
      <w:r>
        <w:rPr>
          <w:rFonts w:ascii="Times New Roman" w:hAnsi="Times New Roman"/>
          <w:sz w:val="28"/>
        </w:rPr>
        <w:t xml:space="preserve"> в 2026</w:t>
      </w:r>
      <w:r>
        <w:rPr>
          <w:rFonts w:ascii="Times New Roman" w:hAnsi="Times New Roman"/>
          <w:sz w:val="28"/>
        </w:rPr>
        <w:t xml:space="preserve"> году </w:t>
      </w:r>
      <w:r>
        <w:rPr>
          <w:rFonts w:ascii="Times New Roman" w:hAnsi="Times New Roman"/>
          <w:sz w:val="28"/>
        </w:rPr>
        <w:t>сформированы в соответствия с полномочиями</w:t>
      </w:r>
      <w:r>
        <w:rPr>
          <w:rFonts w:ascii="Times New Roman" w:hAnsi="Times New Roman"/>
          <w:sz w:val="28"/>
        </w:rPr>
        <w:t>.</w:t>
      </w:r>
    </w:p>
    <w:p w14:paraId="99000000">
      <w:pPr>
        <w:spacing w:after="0"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Основной задачей К</w:t>
      </w:r>
      <w:r>
        <w:rPr>
          <w:rFonts w:ascii="Times New Roman" w:hAnsi="Times New Roman"/>
          <w:sz w:val="28"/>
        </w:rPr>
        <w:t>онтрольно-счетной комиссии в 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остается контроль соблюдения принципа законности, эффективности и результативности использования бюджетных средств.  </w:t>
      </w:r>
    </w:p>
    <w:sectPr>
      <w:footerReference r:id="rId1" w:type="default"/>
      <w:pgSz w:h="16848" w:orient="portrait" w:w="11908"/>
      <w:pgMar w:bottom="850" w:left="1134" w:right="567" w:top="85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1000000"/>
</w:ftr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9A000000">
      <w:pPr>
        <w:pStyle w:val="Style_11"/>
      </w:pPr>
      <w:r>
        <w:rPr>
          <w:vertAlign w:val="superscript"/>
        </w:rPr>
        <w:footnoteRef/>
      </w:r>
      <w:r>
        <w:t xml:space="preserve"> без учете внеплановой проверки с Шарангской межрайонной прокуратурой финансово-хозяйственной деятельности МУП «ЖКХ»</w:t>
      </w:r>
    </w:p>
  </w:footnote>
</w:footnote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2">
    <w:lvl w:ilvl="0">
      <w:start w:val="1"/>
      <w:numFmt w:val="decimal"/>
      <w:lvlText w:val="%1)"/>
      <w:pPr>
        <w:ind w:hanging="360" w:left="720"/>
      </w:pPr>
    </w:lvl>
    <w:lvl w:ilvl="1">
      <w:start w:val="1"/>
      <w:numFmt w:val="russianLower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decimal"/>
      <w:lvlText w:val="%4)"/>
      <w:pPr>
        <w:ind w:hanging="360" w:left="2880"/>
      </w:pPr>
    </w:lvl>
    <w:lvl w:ilvl="4">
      <w:start w:val="1"/>
      <w:numFmt w:val="russianLower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russianLow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3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9" Target="numbering.xml" Type="http://schemas.openxmlformats.org/officeDocument/2006/relationships/numbering"/>
  <Relationship Id="rId5" Target="stylesWithEffects.xml" Type="http://schemas.microsoft.com/office/2007/relationships/stylesWithEffects"/>
  <Relationship Id="rId8" Target="footnotes.xml" Type="http://schemas.openxmlformats.org/officeDocument/2006/relationships/footnote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2026-03-02T08:17:16Z</dcterms:modified>
</cp:coreProperties>
</file>